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3E3" w:rsidRPr="006D0040" w:rsidRDefault="001203E3" w:rsidP="006D0040">
      <w:pPr>
        <w:rPr>
          <w:sz w:val="20"/>
          <w:szCs w:val="20"/>
        </w:rPr>
      </w:pPr>
      <w:r w:rsidRPr="006D0040">
        <w:rPr>
          <w:sz w:val="20"/>
          <w:szCs w:val="20"/>
        </w:rPr>
        <w:t>УДК 621.317.616</w:t>
      </w:r>
    </w:p>
    <w:p w:rsidR="001203E3" w:rsidRPr="006D0040" w:rsidRDefault="001203E3" w:rsidP="006D0040">
      <w:pPr>
        <w:jc w:val="center"/>
        <w:rPr>
          <w:b/>
          <w:sz w:val="20"/>
          <w:szCs w:val="20"/>
        </w:rPr>
      </w:pPr>
      <w:r w:rsidRPr="006D0040">
        <w:rPr>
          <w:b/>
          <w:sz w:val="20"/>
          <w:szCs w:val="20"/>
        </w:rPr>
        <w:t>ПРИНЦИПЫ ОБРАБОТКИ СИГНАЛА ПРИ НЕИНВАЗИВНОМ</w:t>
      </w:r>
    </w:p>
    <w:p w:rsidR="001203E3" w:rsidRPr="006D0040" w:rsidRDefault="001203E3" w:rsidP="006D0040">
      <w:pPr>
        <w:jc w:val="center"/>
        <w:rPr>
          <w:b/>
          <w:sz w:val="20"/>
          <w:szCs w:val="20"/>
        </w:rPr>
      </w:pPr>
      <w:r w:rsidRPr="006D0040">
        <w:rPr>
          <w:b/>
          <w:sz w:val="20"/>
          <w:szCs w:val="20"/>
        </w:rPr>
        <w:t>ИЗМЕРЕНИИ УРОВНЯ ГЛЮКОЗЫ С ИСПОЛЬЗОВАНИЕМ</w:t>
      </w:r>
    </w:p>
    <w:p w:rsidR="001203E3" w:rsidRPr="006D0040" w:rsidRDefault="001203E3" w:rsidP="006D0040">
      <w:pPr>
        <w:jc w:val="center"/>
        <w:rPr>
          <w:b/>
          <w:sz w:val="20"/>
          <w:szCs w:val="20"/>
        </w:rPr>
      </w:pPr>
      <w:r w:rsidRPr="006D0040">
        <w:rPr>
          <w:b/>
          <w:sz w:val="20"/>
          <w:szCs w:val="20"/>
        </w:rPr>
        <w:t>МЕТОДА ИНФРАКРАСНОЙ СПЕКТРОСКОПИИ</w:t>
      </w:r>
    </w:p>
    <w:p w:rsidR="001203E3" w:rsidRPr="006D0040" w:rsidRDefault="001203E3" w:rsidP="006D0040">
      <w:pPr>
        <w:jc w:val="center"/>
        <w:rPr>
          <w:sz w:val="20"/>
          <w:szCs w:val="20"/>
        </w:rPr>
      </w:pPr>
      <w:r w:rsidRPr="006D0040">
        <w:rPr>
          <w:sz w:val="20"/>
          <w:szCs w:val="20"/>
        </w:rPr>
        <w:t xml:space="preserve">Т.П. </w:t>
      </w:r>
      <w:proofErr w:type="spellStart"/>
      <w:r w:rsidRPr="006D0040">
        <w:rPr>
          <w:sz w:val="20"/>
          <w:szCs w:val="20"/>
        </w:rPr>
        <w:t>Муранова</w:t>
      </w:r>
      <w:proofErr w:type="spellEnd"/>
      <w:r w:rsidRPr="006D0040">
        <w:rPr>
          <w:sz w:val="20"/>
          <w:szCs w:val="20"/>
        </w:rPr>
        <w:t xml:space="preserve">, С.Г. </w:t>
      </w:r>
      <w:proofErr w:type="spellStart"/>
      <w:r w:rsidRPr="006D0040">
        <w:rPr>
          <w:sz w:val="20"/>
          <w:szCs w:val="20"/>
        </w:rPr>
        <w:t>Гуржин</w:t>
      </w:r>
      <w:proofErr w:type="spellEnd"/>
    </w:p>
    <w:p w:rsidR="001203E3" w:rsidRPr="006D0040" w:rsidRDefault="001203E3" w:rsidP="006D0040">
      <w:pPr>
        <w:jc w:val="center"/>
        <w:rPr>
          <w:sz w:val="20"/>
          <w:szCs w:val="20"/>
        </w:rPr>
      </w:pPr>
      <w:r w:rsidRPr="006D0040">
        <w:rPr>
          <w:sz w:val="20"/>
          <w:szCs w:val="20"/>
        </w:rPr>
        <w:t xml:space="preserve">ФГБОУ </w:t>
      </w:r>
      <w:proofErr w:type="gramStart"/>
      <w:r w:rsidRPr="006D0040">
        <w:rPr>
          <w:sz w:val="20"/>
          <w:szCs w:val="20"/>
        </w:rPr>
        <w:t>ВО</w:t>
      </w:r>
      <w:proofErr w:type="gramEnd"/>
      <w:r w:rsidRPr="006D0040">
        <w:rPr>
          <w:sz w:val="20"/>
          <w:szCs w:val="20"/>
        </w:rPr>
        <w:t xml:space="preserve"> «Рязанский государств</w:t>
      </w:r>
      <w:r>
        <w:rPr>
          <w:sz w:val="20"/>
          <w:szCs w:val="20"/>
        </w:rPr>
        <w:t>енный радиотехнический универси</w:t>
      </w:r>
      <w:r w:rsidRPr="006D0040">
        <w:rPr>
          <w:sz w:val="20"/>
          <w:szCs w:val="20"/>
        </w:rPr>
        <w:t xml:space="preserve">тет </w:t>
      </w:r>
      <w:r w:rsidR="008B6830">
        <w:rPr>
          <w:sz w:val="20"/>
          <w:szCs w:val="20"/>
        </w:rPr>
        <w:t xml:space="preserve">   </w:t>
      </w:r>
      <w:r w:rsidRPr="006D0040">
        <w:rPr>
          <w:sz w:val="20"/>
          <w:szCs w:val="20"/>
        </w:rPr>
        <w:t>им. В.Ф. Уткина», г. Рязань</w:t>
      </w:r>
    </w:p>
    <w:p w:rsidR="001203E3" w:rsidRPr="006D0040" w:rsidRDefault="001203E3" w:rsidP="006D0040">
      <w:pPr>
        <w:jc w:val="center"/>
        <w:rPr>
          <w:sz w:val="20"/>
          <w:szCs w:val="20"/>
        </w:rPr>
      </w:pPr>
    </w:p>
    <w:p w:rsidR="001203E3" w:rsidRPr="006D0040" w:rsidRDefault="001203E3" w:rsidP="006D0040">
      <w:pPr>
        <w:jc w:val="both"/>
        <w:rPr>
          <w:sz w:val="20"/>
          <w:szCs w:val="20"/>
        </w:rPr>
      </w:pPr>
      <w:r w:rsidRPr="006D0040">
        <w:rPr>
          <w:i/>
          <w:sz w:val="20"/>
          <w:szCs w:val="20"/>
        </w:rPr>
        <w:t xml:space="preserve">Рассмотрен принцип обработки сигнала для метода инфракрасной спектроскопии как способ </w:t>
      </w:r>
      <w:proofErr w:type="spellStart"/>
      <w:r w:rsidRPr="006D0040">
        <w:rPr>
          <w:i/>
          <w:sz w:val="20"/>
          <w:szCs w:val="20"/>
        </w:rPr>
        <w:t>неинвазивного</w:t>
      </w:r>
      <w:proofErr w:type="spellEnd"/>
      <w:r w:rsidRPr="006D0040">
        <w:rPr>
          <w:i/>
          <w:sz w:val="20"/>
          <w:szCs w:val="20"/>
        </w:rPr>
        <w:t xml:space="preserve"> определения уровня глюкозы в крови. Предложена функциональная схема устройства.</w:t>
      </w:r>
    </w:p>
    <w:p w:rsidR="001203E3" w:rsidRPr="006D0040" w:rsidRDefault="001203E3" w:rsidP="006D0040">
      <w:pPr>
        <w:jc w:val="both"/>
        <w:rPr>
          <w:i/>
          <w:sz w:val="20"/>
          <w:szCs w:val="20"/>
        </w:rPr>
      </w:pPr>
      <w:r w:rsidRPr="006D0040">
        <w:rPr>
          <w:b/>
          <w:i/>
          <w:sz w:val="20"/>
          <w:szCs w:val="20"/>
        </w:rPr>
        <w:t>Ключевые слова:</w:t>
      </w:r>
      <w:r>
        <w:rPr>
          <w:i/>
          <w:sz w:val="20"/>
          <w:szCs w:val="20"/>
        </w:rPr>
        <w:t xml:space="preserve"> о</w:t>
      </w:r>
      <w:r w:rsidRPr="006D0040">
        <w:rPr>
          <w:i/>
          <w:sz w:val="20"/>
          <w:szCs w:val="20"/>
        </w:rPr>
        <w:t xml:space="preserve">птические методы, </w:t>
      </w:r>
      <w:proofErr w:type="spellStart"/>
      <w:r w:rsidRPr="006D0040">
        <w:rPr>
          <w:i/>
          <w:sz w:val="20"/>
          <w:szCs w:val="20"/>
        </w:rPr>
        <w:t>неинвазивный</w:t>
      </w:r>
      <w:proofErr w:type="spellEnd"/>
      <w:r w:rsidRPr="006D0040">
        <w:rPr>
          <w:i/>
          <w:sz w:val="20"/>
          <w:szCs w:val="20"/>
        </w:rPr>
        <w:t>, глюкоза, инфракрасная спектроскопия.</w:t>
      </w:r>
    </w:p>
    <w:p w:rsidR="001203E3" w:rsidRPr="00063DA3" w:rsidRDefault="001203E3" w:rsidP="006D0040">
      <w:pPr>
        <w:jc w:val="center"/>
        <w:rPr>
          <w:b/>
          <w:color w:val="212121"/>
          <w:sz w:val="20"/>
          <w:szCs w:val="20"/>
          <w:shd w:val="clear" w:color="auto" w:fill="FFFFFF"/>
        </w:rPr>
      </w:pPr>
    </w:p>
    <w:p w:rsidR="001203E3" w:rsidRPr="006D0040" w:rsidRDefault="001203E3" w:rsidP="006D0040">
      <w:pPr>
        <w:jc w:val="center"/>
        <w:rPr>
          <w:b/>
          <w:color w:val="212121"/>
          <w:sz w:val="20"/>
          <w:szCs w:val="20"/>
          <w:shd w:val="clear" w:color="auto" w:fill="FFFFFF"/>
          <w:lang w:val="en-US"/>
        </w:rPr>
      </w:pPr>
      <w:r w:rsidRPr="006D0040">
        <w:rPr>
          <w:b/>
          <w:color w:val="212121"/>
          <w:sz w:val="20"/>
          <w:szCs w:val="20"/>
          <w:shd w:val="clear" w:color="auto" w:fill="FFFFFF"/>
          <w:lang w:val="en-US"/>
        </w:rPr>
        <w:t>PRINCIPLES OF SIGNAL TREATMENT WITH NON-INVASIVE</w:t>
      </w:r>
    </w:p>
    <w:p w:rsidR="001203E3" w:rsidRPr="006D0040" w:rsidRDefault="001203E3" w:rsidP="006D0040">
      <w:pPr>
        <w:jc w:val="center"/>
        <w:rPr>
          <w:b/>
          <w:color w:val="212121"/>
          <w:sz w:val="20"/>
          <w:szCs w:val="20"/>
          <w:shd w:val="clear" w:color="auto" w:fill="FFFFFF"/>
          <w:lang w:val="en-US"/>
        </w:rPr>
      </w:pPr>
      <w:r w:rsidRPr="006D0040">
        <w:rPr>
          <w:b/>
          <w:color w:val="212121"/>
          <w:sz w:val="20"/>
          <w:szCs w:val="20"/>
          <w:shd w:val="clear" w:color="auto" w:fill="FFFFFF"/>
          <w:lang w:val="en-US"/>
        </w:rPr>
        <w:t>MEASUREMENT OF GLUCOSE LEVEL USING</w:t>
      </w:r>
    </w:p>
    <w:p w:rsidR="001203E3" w:rsidRPr="006D0040" w:rsidRDefault="001203E3" w:rsidP="006D0040">
      <w:pPr>
        <w:jc w:val="center"/>
        <w:rPr>
          <w:b/>
          <w:color w:val="212121"/>
          <w:sz w:val="20"/>
          <w:szCs w:val="20"/>
          <w:shd w:val="clear" w:color="auto" w:fill="FFFFFF"/>
          <w:lang w:val="en-US"/>
        </w:rPr>
      </w:pPr>
      <w:r w:rsidRPr="006D0040">
        <w:rPr>
          <w:b/>
          <w:color w:val="212121"/>
          <w:sz w:val="20"/>
          <w:szCs w:val="20"/>
          <w:shd w:val="clear" w:color="auto" w:fill="FFFFFF"/>
          <w:lang w:val="en-US"/>
        </w:rPr>
        <w:t>THE INFRARED SPECTROSCOPY METHOD</w:t>
      </w:r>
    </w:p>
    <w:p w:rsidR="001203E3" w:rsidRPr="006D0040" w:rsidRDefault="001203E3" w:rsidP="006D0040">
      <w:pPr>
        <w:jc w:val="center"/>
        <w:rPr>
          <w:sz w:val="20"/>
          <w:szCs w:val="20"/>
          <w:lang w:val="en-US"/>
        </w:rPr>
      </w:pPr>
      <w:r w:rsidRPr="006D0040">
        <w:rPr>
          <w:sz w:val="20"/>
          <w:szCs w:val="20"/>
          <w:lang w:val="en-US"/>
        </w:rPr>
        <w:t xml:space="preserve">T.P. </w:t>
      </w:r>
      <w:proofErr w:type="spellStart"/>
      <w:r w:rsidRPr="006D0040">
        <w:rPr>
          <w:sz w:val="20"/>
          <w:szCs w:val="20"/>
          <w:lang w:val="en-US"/>
        </w:rPr>
        <w:t>Muranova</w:t>
      </w:r>
      <w:proofErr w:type="spellEnd"/>
      <w:r w:rsidRPr="006D0040">
        <w:rPr>
          <w:sz w:val="20"/>
          <w:szCs w:val="20"/>
          <w:lang w:val="en-US"/>
        </w:rPr>
        <w:t xml:space="preserve">, S.G. </w:t>
      </w:r>
      <w:proofErr w:type="spellStart"/>
      <w:r w:rsidRPr="006D0040">
        <w:rPr>
          <w:sz w:val="20"/>
          <w:szCs w:val="20"/>
          <w:lang w:val="en-US"/>
        </w:rPr>
        <w:t>Gurzhin</w:t>
      </w:r>
      <w:proofErr w:type="spellEnd"/>
    </w:p>
    <w:p w:rsidR="001203E3" w:rsidRPr="006D0040" w:rsidRDefault="001203E3" w:rsidP="006D0040">
      <w:pPr>
        <w:jc w:val="center"/>
        <w:rPr>
          <w:sz w:val="20"/>
          <w:szCs w:val="20"/>
          <w:lang w:val="en-US"/>
        </w:rPr>
      </w:pPr>
      <w:r w:rsidRPr="002D306C">
        <w:rPr>
          <w:sz w:val="20"/>
          <w:szCs w:val="20"/>
          <w:lang w:val="en-US"/>
        </w:rPr>
        <w:t xml:space="preserve">Ryazan state radio engineering university named after V.F. </w:t>
      </w:r>
      <w:proofErr w:type="spellStart"/>
      <w:r w:rsidRPr="002D306C">
        <w:rPr>
          <w:sz w:val="20"/>
          <w:szCs w:val="20"/>
          <w:lang w:val="en-US"/>
        </w:rPr>
        <w:t>Utkin</w:t>
      </w:r>
      <w:proofErr w:type="spellEnd"/>
      <w:r w:rsidRPr="006D0040">
        <w:rPr>
          <w:sz w:val="20"/>
          <w:szCs w:val="20"/>
          <w:lang w:val="en-US"/>
        </w:rPr>
        <w:t>, Ryazan</w:t>
      </w:r>
    </w:p>
    <w:p w:rsidR="001203E3" w:rsidRPr="006D0040" w:rsidRDefault="001203E3" w:rsidP="006D0040">
      <w:pPr>
        <w:pStyle w:val="HTML"/>
        <w:shd w:val="clear" w:color="auto" w:fill="FFFFFF"/>
        <w:rPr>
          <w:rFonts w:ascii="Times New Roman" w:hAnsi="Times New Roman"/>
          <w:color w:val="212121"/>
          <w:shd w:val="clear" w:color="auto" w:fill="FFFFFF"/>
          <w:lang w:val="en-US"/>
        </w:rPr>
      </w:pPr>
    </w:p>
    <w:p w:rsidR="001203E3" w:rsidRPr="006D0040" w:rsidRDefault="001203E3" w:rsidP="006D0040">
      <w:pPr>
        <w:pStyle w:val="HTML"/>
        <w:shd w:val="clear" w:color="auto" w:fill="FFFFFF"/>
        <w:jc w:val="both"/>
        <w:rPr>
          <w:rFonts w:ascii="Times New Roman" w:hAnsi="Times New Roman"/>
          <w:i/>
          <w:color w:val="212121"/>
          <w:lang w:val="en-US"/>
        </w:rPr>
      </w:pPr>
      <w:r w:rsidRPr="006D0040">
        <w:rPr>
          <w:rFonts w:ascii="Times New Roman" w:hAnsi="Times New Roman"/>
          <w:i/>
          <w:color w:val="212121"/>
          <w:shd w:val="clear" w:color="auto" w:fill="FFFFFF"/>
          <w:lang w:val="en-US"/>
        </w:rPr>
        <w:t xml:space="preserve">The principle of signal processing for the method of infrared spectroscopy as a method of non-invasive determination of blood glucose levels is considered. </w:t>
      </w:r>
      <w:r w:rsidRPr="006D0040">
        <w:rPr>
          <w:rFonts w:ascii="Times New Roman" w:hAnsi="Times New Roman"/>
          <w:i/>
          <w:color w:val="212121"/>
          <w:lang w:val="en-US"/>
        </w:rPr>
        <w:t>A functional diagram of the device is proposed.</w:t>
      </w:r>
    </w:p>
    <w:p w:rsidR="001203E3" w:rsidRPr="006D0040" w:rsidRDefault="001203E3" w:rsidP="006D0040">
      <w:pPr>
        <w:jc w:val="both"/>
        <w:rPr>
          <w:i/>
          <w:sz w:val="20"/>
          <w:szCs w:val="20"/>
          <w:lang w:val="en-US"/>
        </w:rPr>
      </w:pPr>
      <w:r w:rsidRPr="006D0040">
        <w:rPr>
          <w:b/>
          <w:i/>
          <w:sz w:val="20"/>
          <w:szCs w:val="20"/>
          <w:lang w:val="en-US"/>
        </w:rPr>
        <w:t>Key words:</w:t>
      </w:r>
      <w:r>
        <w:rPr>
          <w:i/>
          <w:sz w:val="20"/>
          <w:szCs w:val="20"/>
          <w:lang w:val="en-US"/>
        </w:rPr>
        <w:t xml:space="preserve"> optical methods</w:t>
      </w:r>
      <w:r w:rsidRPr="000D0E3B">
        <w:rPr>
          <w:i/>
          <w:sz w:val="20"/>
          <w:szCs w:val="20"/>
          <w:lang w:val="en-US"/>
        </w:rPr>
        <w:t>,</w:t>
      </w:r>
      <w:r w:rsidRPr="006D0040">
        <w:rPr>
          <w:i/>
          <w:sz w:val="20"/>
          <w:szCs w:val="20"/>
          <w:lang w:val="en-US"/>
        </w:rPr>
        <w:t xml:space="preserve"> non-invasive, glucose, near infrared spectroscopy.</w:t>
      </w:r>
    </w:p>
    <w:p w:rsidR="001203E3" w:rsidRPr="006D0040" w:rsidRDefault="001203E3" w:rsidP="006D0040">
      <w:pPr>
        <w:jc w:val="both"/>
        <w:rPr>
          <w:sz w:val="20"/>
          <w:szCs w:val="20"/>
          <w:lang w:val="en-US"/>
        </w:rPr>
      </w:pPr>
    </w:p>
    <w:p w:rsidR="001203E3" w:rsidRDefault="001203E3" w:rsidP="000D0E3B">
      <w:pPr>
        <w:pStyle w:val="21"/>
        <w:shd w:val="clear" w:color="auto" w:fill="FFFFFF"/>
        <w:ind w:left="0" w:firstLine="284"/>
        <w:jc w:val="both"/>
        <w:textAlignment w:val="baseline"/>
        <w:rPr>
          <w:sz w:val="20"/>
          <w:szCs w:val="20"/>
        </w:rPr>
      </w:pPr>
      <w:r w:rsidRPr="006D0040">
        <w:rPr>
          <w:sz w:val="20"/>
          <w:szCs w:val="20"/>
        </w:rPr>
        <w:t xml:space="preserve">Определение уровня глюкозы в крови </w:t>
      </w:r>
      <w:proofErr w:type="spellStart"/>
      <w:r w:rsidRPr="006D0040">
        <w:rPr>
          <w:sz w:val="20"/>
          <w:szCs w:val="20"/>
        </w:rPr>
        <w:t>неинвазивным</w:t>
      </w:r>
      <w:proofErr w:type="spellEnd"/>
      <w:r w:rsidRPr="006D0040">
        <w:rPr>
          <w:sz w:val="20"/>
          <w:szCs w:val="20"/>
        </w:rPr>
        <w:t xml:space="preserve"> способом возможно с помощью оптических методов. На основании сравнительного анализа </w:t>
      </w:r>
      <w:proofErr w:type="spellStart"/>
      <w:r w:rsidRPr="006D0040">
        <w:rPr>
          <w:sz w:val="20"/>
          <w:szCs w:val="20"/>
        </w:rPr>
        <w:t>неинвазивных</w:t>
      </w:r>
      <w:proofErr w:type="spellEnd"/>
      <w:r w:rsidRPr="006D0040">
        <w:rPr>
          <w:sz w:val="20"/>
          <w:szCs w:val="20"/>
        </w:rPr>
        <w:t xml:space="preserve"> методов определения уровня глюкозы в крови, проведенного авторами в статье [1], был выделен метод инфракрасной спектроскопии ближнего диапазона действия, выгодно отличающийся от других методов, прежде всего, оперативностью получения информации от объекта исследования, высокой помехоустойчивостью передачи данных и абсолютной безвредностью воздействия.</w:t>
      </w:r>
    </w:p>
    <w:p w:rsidR="00063DA3" w:rsidRDefault="00063DA3" w:rsidP="000D0E3B">
      <w:pPr>
        <w:pStyle w:val="21"/>
        <w:shd w:val="clear" w:color="auto" w:fill="FFFFFF"/>
        <w:ind w:left="0" w:firstLine="284"/>
        <w:jc w:val="both"/>
        <w:textAlignment w:val="baseline"/>
        <w:rPr>
          <w:sz w:val="20"/>
          <w:szCs w:val="20"/>
        </w:rPr>
      </w:pPr>
      <w:r w:rsidRPr="00063DA3">
        <w:rPr>
          <w:sz w:val="20"/>
          <w:szCs w:val="20"/>
        </w:rPr>
        <w:t>&lt;………&gt;</w:t>
      </w:r>
    </w:p>
    <w:p w:rsidR="001B4AEA" w:rsidRPr="00063DA3" w:rsidRDefault="001B4AEA" w:rsidP="001B4AEA">
      <w:pPr>
        <w:pStyle w:val="21"/>
        <w:shd w:val="clear" w:color="auto" w:fill="FFFFFF"/>
        <w:ind w:left="0" w:firstLine="284"/>
        <w:jc w:val="both"/>
        <w:textAlignment w:val="baseline"/>
        <w:rPr>
          <w:sz w:val="20"/>
          <w:szCs w:val="20"/>
        </w:rPr>
      </w:pPr>
      <w:r w:rsidRPr="00063DA3">
        <w:rPr>
          <w:sz w:val="20"/>
          <w:szCs w:val="20"/>
        </w:rPr>
        <w:t>&lt;………&gt;</w:t>
      </w:r>
    </w:p>
    <w:p w:rsidR="001B4AEA" w:rsidRPr="00063DA3" w:rsidRDefault="001B4AEA" w:rsidP="001B4AEA">
      <w:pPr>
        <w:pStyle w:val="21"/>
        <w:shd w:val="clear" w:color="auto" w:fill="FFFFFF"/>
        <w:ind w:left="0" w:firstLine="284"/>
        <w:jc w:val="both"/>
        <w:textAlignment w:val="baseline"/>
        <w:rPr>
          <w:sz w:val="20"/>
          <w:szCs w:val="20"/>
        </w:rPr>
      </w:pPr>
      <w:r w:rsidRPr="00063DA3">
        <w:rPr>
          <w:sz w:val="20"/>
          <w:szCs w:val="20"/>
        </w:rPr>
        <w:t>&lt;………&gt;</w:t>
      </w:r>
    </w:p>
    <w:p w:rsidR="001B4AEA" w:rsidRDefault="001B4AEA" w:rsidP="001B4AEA">
      <w:pPr>
        <w:pStyle w:val="21"/>
        <w:shd w:val="clear" w:color="auto" w:fill="FFFFFF"/>
        <w:ind w:left="0" w:firstLine="284"/>
        <w:jc w:val="both"/>
        <w:textAlignment w:val="baseline"/>
        <w:rPr>
          <w:sz w:val="20"/>
          <w:szCs w:val="20"/>
        </w:rPr>
      </w:pPr>
      <w:r w:rsidRPr="00063DA3">
        <w:rPr>
          <w:sz w:val="20"/>
          <w:szCs w:val="20"/>
        </w:rPr>
        <w:t>&lt;………&gt;</w:t>
      </w:r>
    </w:p>
    <w:p w:rsidR="001B4AEA" w:rsidRDefault="001B4AEA" w:rsidP="001B4AEA">
      <w:pPr>
        <w:pStyle w:val="21"/>
        <w:shd w:val="clear" w:color="auto" w:fill="FFFFFF"/>
        <w:ind w:left="0" w:firstLine="284"/>
        <w:jc w:val="both"/>
        <w:textAlignment w:val="baseline"/>
        <w:rPr>
          <w:sz w:val="20"/>
          <w:szCs w:val="20"/>
        </w:rPr>
      </w:pPr>
      <w:r w:rsidRPr="00063DA3">
        <w:rPr>
          <w:sz w:val="20"/>
          <w:szCs w:val="20"/>
        </w:rPr>
        <w:t>&lt;………&gt;</w:t>
      </w:r>
    </w:p>
    <w:p w:rsidR="001B4AEA" w:rsidRDefault="001B4AEA" w:rsidP="001B4AEA">
      <w:pPr>
        <w:pStyle w:val="21"/>
        <w:shd w:val="clear" w:color="auto" w:fill="FFFFFF"/>
        <w:ind w:left="0" w:firstLine="284"/>
        <w:jc w:val="both"/>
        <w:textAlignment w:val="baseline"/>
        <w:rPr>
          <w:sz w:val="20"/>
          <w:szCs w:val="20"/>
        </w:rPr>
      </w:pPr>
      <w:r w:rsidRPr="00063DA3">
        <w:rPr>
          <w:sz w:val="20"/>
          <w:szCs w:val="20"/>
        </w:rPr>
        <w:t>&lt;………&gt;</w:t>
      </w:r>
    </w:p>
    <w:p w:rsidR="001B4AEA" w:rsidRDefault="001B4AEA" w:rsidP="001B4AEA">
      <w:pPr>
        <w:pStyle w:val="21"/>
        <w:shd w:val="clear" w:color="auto" w:fill="FFFFFF"/>
        <w:ind w:left="0" w:firstLine="284"/>
        <w:jc w:val="both"/>
        <w:textAlignment w:val="baseline"/>
        <w:rPr>
          <w:sz w:val="20"/>
          <w:szCs w:val="20"/>
        </w:rPr>
      </w:pPr>
      <w:r w:rsidRPr="00063DA3">
        <w:rPr>
          <w:sz w:val="20"/>
          <w:szCs w:val="20"/>
        </w:rPr>
        <w:t>&lt;………&gt;</w:t>
      </w:r>
    </w:p>
    <w:p w:rsidR="001203E3" w:rsidRDefault="001203E3" w:rsidP="000D0E3B">
      <w:pPr>
        <w:shd w:val="clear" w:color="auto" w:fill="FFFFFF"/>
        <w:ind w:firstLine="284"/>
        <w:jc w:val="both"/>
        <w:rPr>
          <w:sz w:val="20"/>
          <w:szCs w:val="20"/>
        </w:rPr>
      </w:pPr>
      <w:r w:rsidRPr="006D0040">
        <w:rPr>
          <w:sz w:val="20"/>
          <w:szCs w:val="20"/>
        </w:rPr>
        <w:t>Определение концентрации глюкозы в крови осуществляют на основании отраженных сигналов при воздействии на биологическую ткань оптическим излучением второго, третьего и пятого диапазонов длин волн, где наблюдаются три максимума спектра поглощения глюкозы (рис</w:t>
      </w:r>
      <w:r w:rsidR="00B97563">
        <w:rPr>
          <w:sz w:val="20"/>
          <w:szCs w:val="20"/>
        </w:rPr>
        <w:t xml:space="preserve">. </w:t>
      </w:r>
      <w:r w:rsidRPr="006D0040">
        <w:rPr>
          <w:sz w:val="20"/>
          <w:szCs w:val="20"/>
        </w:rPr>
        <w:t xml:space="preserve">1). </w:t>
      </w:r>
    </w:p>
    <w:p w:rsidR="001203E3" w:rsidRPr="006D0040" w:rsidRDefault="001203E3" w:rsidP="006D0040">
      <w:pPr>
        <w:jc w:val="center"/>
        <w:rPr>
          <w:sz w:val="20"/>
          <w:szCs w:val="20"/>
        </w:rPr>
      </w:pPr>
      <w:r w:rsidRPr="006D0040">
        <w:rPr>
          <w:sz w:val="20"/>
          <w:szCs w:val="20"/>
        </w:rPr>
        <w:object w:dxaOrig="5774" w:dyaOrig="41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9.5pt;height:185.25pt" o:ole="">
            <v:imagedata r:id="rId7" o:title=""/>
          </v:shape>
          <o:OLEObject Type="Embed" ProgID="Word.Picture.8" ShapeID="_x0000_i1025" DrawAspect="Content" ObjectID="_1630402417" r:id="rId8"/>
        </w:object>
      </w:r>
    </w:p>
    <w:p w:rsidR="001203E3" w:rsidRPr="006D0040" w:rsidRDefault="001203E3" w:rsidP="006D0040">
      <w:pPr>
        <w:jc w:val="center"/>
        <w:rPr>
          <w:sz w:val="20"/>
          <w:szCs w:val="20"/>
        </w:rPr>
      </w:pPr>
      <w:r w:rsidRPr="006D0040">
        <w:rPr>
          <w:sz w:val="20"/>
          <w:szCs w:val="20"/>
        </w:rPr>
        <w:t>Рис</w:t>
      </w:r>
      <w:r>
        <w:rPr>
          <w:sz w:val="20"/>
          <w:szCs w:val="20"/>
        </w:rPr>
        <w:t>.</w:t>
      </w:r>
      <w:r w:rsidRPr="006D0040">
        <w:rPr>
          <w:sz w:val="20"/>
          <w:szCs w:val="20"/>
        </w:rPr>
        <w:t xml:space="preserve"> 1 − Спектры поглощения глюкозы, воды и меланина</w:t>
      </w:r>
    </w:p>
    <w:p w:rsidR="001203E3" w:rsidRPr="006D0040" w:rsidRDefault="001203E3" w:rsidP="006D0040">
      <w:pPr>
        <w:jc w:val="center"/>
        <w:rPr>
          <w:sz w:val="20"/>
          <w:szCs w:val="20"/>
        </w:rPr>
      </w:pPr>
      <w:r w:rsidRPr="006D0040">
        <w:rPr>
          <w:sz w:val="20"/>
          <w:szCs w:val="20"/>
        </w:rPr>
        <w:t>в красном и ближнем инфракрасном диапазонах излучения</w:t>
      </w:r>
    </w:p>
    <w:p w:rsidR="00063DA3" w:rsidRPr="001B4AEA" w:rsidRDefault="00063DA3" w:rsidP="000D0E3B">
      <w:pPr>
        <w:shd w:val="clear" w:color="auto" w:fill="FFFFFF"/>
        <w:ind w:firstLine="284"/>
        <w:jc w:val="both"/>
        <w:rPr>
          <w:sz w:val="20"/>
          <w:szCs w:val="20"/>
        </w:rPr>
      </w:pPr>
    </w:p>
    <w:p w:rsidR="001203E3" w:rsidRPr="00B97563" w:rsidRDefault="001203E3" w:rsidP="000D0E3B">
      <w:pPr>
        <w:shd w:val="clear" w:color="auto" w:fill="FFFFFF"/>
        <w:ind w:firstLine="284"/>
        <w:jc w:val="both"/>
        <w:rPr>
          <w:sz w:val="20"/>
          <w:szCs w:val="20"/>
        </w:rPr>
      </w:pPr>
      <w:r w:rsidRPr="006D0040">
        <w:rPr>
          <w:sz w:val="20"/>
          <w:szCs w:val="20"/>
        </w:rPr>
        <w:t xml:space="preserve">Для реализации </w:t>
      </w:r>
      <w:proofErr w:type="spellStart"/>
      <w:r w:rsidRPr="006D0040">
        <w:rPr>
          <w:sz w:val="20"/>
          <w:szCs w:val="20"/>
        </w:rPr>
        <w:t>неинвазивного</w:t>
      </w:r>
      <w:proofErr w:type="spellEnd"/>
      <w:r w:rsidRPr="006D0040">
        <w:rPr>
          <w:sz w:val="20"/>
          <w:szCs w:val="20"/>
        </w:rPr>
        <w:t xml:space="preserve"> измерителя уровня глюкозы в крови разработана функциональная схема системы, представленная на рис</w:t>
      </w:r>
      <w:r w:rsidR="00B97563">
        <w:rPr>
          <w:sz w:val="20"/>
          <w:szCs w:val="20"/>
        </w:rPr>
        <w:t xml:space="preserve">. </w:t>
      </w:r>
      <w:r w:rsidRPr="006D0040">
        <w:rPr>
          <w:sz w:val="20"/>
          <w:szCs w:val="20"/>
        </w:rPr>
        <w:t>2.</w:t>
      </w:r>
    </w:p>
    <w:p w:rsidR="00063DA3" w:rsidRDefault="00063DA3" w:rsidP="00063DA3">
      <w:pPr>
        <w:pStyle w:val="21"/>
        <w:shd w:val="clear" w:color="auto" w:fill="FFFFFF"/>
        <w:ind w:left="0" w:firstLine="284"/>
        <w:jc w:val="both"/>
        <w:textAlignment w:val="baseline"/>
        <w:rPr>
          <w:sz w:val="20"/>
          <w:szCs w:val="20"/>
        </w:rPr>
      </w:pPr>
      <w:r w:rsidRPr="00063DA3">
        <w:rPr>
          <w:sz w:val="20"/>
          <w:szCs w:val="20"/>
        </w:rPr>
        <w:t>&lt;………&gt;</w:t>
      </w:r>
    </w:p>
    <w:p w:rsidR="001B4AEA" w:rsidRDefault="001B4AEA" w:rsidP="001B4AEA">
      <w:pPr>
        <w:pStyle w:val="21"/>
        <w:shd w:val="clear" w:color="auto" w:fill="FFFFFF"/>
        <w:ind w:left="0" w:firstLine="284"/>
        <w:jc w:val="both"/>
        <w:textAlignment w:val="baseline"/>
        <w:rPr>
          <w:sz w:val="20"/>
          <w:szCs w:val="20"/>
        </w:rPr>
      </w:pPr>
      <w:r w:rsidRPr="00063DA3">
        <w:rPr>
          <w:sz w:val="20"/>
          <w:szCs w:val="20"/>
        </w:rPr>
        <w:t>&lt;………&gt;</w:t>
      </w:r>
    </w:p>
    <w:p w:rsidR="001B4AEA" w:rsidRDefault="001B4AEA" w:rsidP="001B4AEA">
      <w:pPr>
        <w:pStyle w:val="21"/>
        <w:shd w:val="clear" w:color="auto" w:fill="FFFFFF"/>
        <w:ind w:left="0" w:firstLine="284"/>
        <w:jc w:val="both"/>
        <w:textAlignment w:val="baseline"/>
        <w:rPr>
          <w:sz w:val="20"/>
          <w:szCs w:val="20"/>
        </w:rPr>
      </w:pPr>
      <w:r w:rsidRPr="00063DA3">
        <w:rPr>
          <w:sz w:val="20"/>
          <w:szCs w:val="20"/>
        </w:rPr>
        <w:t>&lt;………&gt;</w:t>
      </w:r>
    </w:p>
    <w:p w:rsidR="001B4AEA" w:rsidRDefault="001B4AEA" w:rsidP="001B4AEA">
      <w:pPr>
        <w:pStyle w:val="21"/>
        <w:shd w:val="clear" w:color="auto" w:fill="FFFFFF"/>
        <w:ind w:left="0" w:firstLine="284"/>
        <w:jc w:val="both"/>
        <w:textAlignment w:val="baseline"/>
        <w:rPr>
          <w:sz w:val="20"/>
          <w:szCs w:val="20"/>
        </w:rPr>
      </w:pPr>
      <w:r w:rsidRPr="00063DA3">
        <w:rPr>
          <w:sz w:val="20"/>
          <w:szCs w:val="20"/>
        </w:rPr>
        <w:t>&lt;………&gt;</w:t>
      </w:r>
    </w:p>
    <w:p w:rsidR="001203E3" w:rsidRPr="006D0040" w:rsidRDefault="001203E3" w:rsidP="000D0E3B">
      <w:pPr>
        <w:shd w:val="clear" w:color="auto" w:fill="FFFFFF"/>
        <w:ind w:firstLine="284"/>
        <w:jc w:val="both"/>
        <w:rPr>
          <w:color w:val="000000"/>
          <w:sz w:val="20"/>
          <w:szCs w:val="20"/>
        </w:rPr>
      </w:pPr>
      <w:r w:rsidRPr="006D0040">
        <w:rPr>
          <w:color w:val="000000"/>
          <w:sz w:val="20"/>
          <w:szCs w:val="20"/>
        </w:rPr>
        <w:t>Фотодиод преобразует отраженные от кровеносного потока лучи в аналоговый электрический сигнал, который нормализуется и преобразуется в код в модуле сбора данных. Дополнительная обработка сигнала, снижающая систематические и случайные составляющие планируется производить в ПК алгоритмами ВП с наглядной визуализацией процесса измерения и обработки.</w:t>
      </w:r>
    </w:p>
    <w:p w:rsidR="001203E3" w:rsidRPr="006D0040" w:rsidRDefault="001203E3" w:rsidP="006D0040">
      <w:pPr>
        <w:jc w:val="center"/>
        <w:rPr>
          <w:sz w:val="20"/>
          <w:szCs w:val="20"/>
        </w:rPr>
      </w:pPr>
    </w:p>
    <w:p w:rsidR="001203E3" w:rsidRPr="006D0040" w:rsidRDefault="001203E3" w:rsidP="006D0040">
      <w:pPr>
        <w:pStyle w:val="a4"/>
        <w:ind w:firstLine="0"/>
        <w:jc w:val="center"/>
        <w:rPr>
          <w:b w:val="0"/>
          <w:i/>
          <w:color w:val="000000"/>
          <w:sz w:val="20"/>
          <w:szCs w:val="20"/>
          <w:lang w:val="ru-RU"/>
        </w:rPr>
      </w:pPr>
      <w:r w:rsidRPr="006D0040">
        <w:rPr>
          <w:b w:val="0"/>
          <w:i/>
          <w:color w:val="000000"/>
          <w:sz w:val="20"/>
          <w:szCs w:val="20"/>
          <w:lang w:val="ru-RU"/>
        </w:rPr>
        <w:t>Библиографический список</w:t>
      </w:r>
    </w:p>
    <w:p w:rsidR="001203E3" w:rsidRPr="006D0040" w:rsidRDefault="001203E3" w:rsidP="000D0E3B">
      <w:pPr>
        <w:pStyle w:val="2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proofErr w:type="spellStart"/>
      <w:r w:rsidRPr="006D0040">
        <w:rPr>
          <w:rFonts w:ascii="Times New Roman" w:hAnsi="Times New Roman"/>
          <w:color w:val="000000"/>
          <w:sz w:val="20"/>
          <w:szCs w:val="20"/>
        </w:rPr>
        <w:t>Муранова</w:t>
      </w:r>
      <w:proofErr w:type="spellEnd"/>
      <w:r w:rsidRPr="006D0040">
        <w:rPr>
          <w:rFonts w:ascii="Times New Roman" w:hAnsi="Times New Roman"/>
          <w:color w:val="000000"/>
          <w:sz w:val="20"/>
          <w:szCs w:val="20"/>
        </w:rPr>
        <w:t xml:space="preserve"> Т.П., </w:t>
      </w:r>
      <w:proofErr w:type="spellStart"/>
      <w:r w:rsidRPr="006D0040">
        <w:rPr>
          <w:rFonts w:ascii="Times New Roman" w:hAnsi="Times New Roman"/>
          <w:color w:val="000000"/>
          <w:sz w:val="20"/>
          <w:szCs w:val="20"/>
        </w:rPr>
        <w:t>Гуржин</w:t>
      </w:r>
      <w:proofErr w:type="spellEnd"/>
      <w:r w:rsidRPr="006D0040">
        <w:rPr>
          <w:rFonts w:ascii="Times New Roman" w:hAnsi="Times New Roman"/>
          <w:color w:val="000000"/>
          <w:sz w:val="20"/>
          <w:szCs w:val="20"/>
        </w:rPr>
        <w:t xml:space="preserve"> С.Г. Принципы построения оперативного </w:t>
      </w:r>
      <w:proofErr w:type="spellStart"/>
      <w:r w:rsidRPr="006D0040">
        <w:rPr>
          <w:rFonts w:ascii="Times New Roman" w:hAnsi="Times New Roman"/>
          <w:color w:val="000000"/>
          <w:sz w:val="20"/>
          <w:szCs w:val="20"/>
        </w:rPr>
        <w:t>неинвазивного</w:t>
      </w:r>
      <w:proofErr w:type="spellEnd"/>
      <w:r w:rsidRPr="006D0040">
        <w:rPr>
          <w:rFonts w:ascii="Times New Roman" w:hAnsi="Times New Roman"/>
          <w:color w:val="000000"/>
          <w:sz w:val="20"/>
          <w:szCs w:val="20"/>
        </w:rPr>
        <w:t xml:space="preserve"> измерителя уровня глюкозы в крови // Сб. тр. ХХХ </w:t>
      </w:r>
      <w:proofErr w:type="spellStart"/>
      <w:r w:rsidRPr="006D0040">
        <w:rPr>
          <w:rFonts w:ascii="Times New Roman" w:hAnsi="Times New Roman"/>
          <w:color w:val="000000"/>
          <w:sz w:val="20"/>
          <w:szCs w:val="20"/>
        </w:rPr>
        <w:t>Всерос</w:t>
      </w:r>
      <w:proofErr w:type="spellEnd"/>
      <w:r w:rsidRPr="006D0040">
        <w:rPr>
          <w:rFonts w:ascii="Times New Roman" w:hAnsi="Times New Roman"/>
          <w:color w:val="000000"/>
          <w:sz w:val="20"/>
          <w:szCs w:val="20"/>
        </w:rPr>
        <w:t xml:space="preserve">. </w:t>
      </w:r>
      <w:proofErr w:type="spellStart"/>
      <w:r w:rsidRPr="006D0040">
        <w:rPr>
          <w:rFonts w:ascii="Times New Roman" w:hAnsi="Times New Roman"/>
          <w:color w:val="000000"/>
          <w:sz w:val="20"/>
          <w:szCs w:val="20"/>
        </w:rPr>
        <w:t>науч.-техн</w:t>
      </w:r>
      <w:proofErr w:type="spellEnd"/>
      <w:r w:rsidRPr="006D0040">
        <w:rPr>
          <w:rFonts w:ascii="Times New Roman" w:hAnsi="Times New Roman"/>
          <w:color w:val="000000"/>
          <w:sz w:val="20"/>
          <w:szCs w:val="20"/>
        </w:rPr>
        <w:t xml:space="preserve">. </w:t>
      </w:r>
      <w:proofErr w:type="spellStart"/>
      <w:r w:rsidRPr="006D0040">
        <w:rPr>
          <w:rFonts w:ascii="Times New Roman" w:hAnsi="Times New Roman"/>
          <w:color w:val="000000"/>
          <w:sz w:val="20"/>
          <w:szCs w:val="20"/>
        </w:rPr>
        <w:t>конф</w:t>
      </w:r>
      <w:proofErr w:type="spellEnd"/>
      <w:r w:rsidRPr="006D0040">
        <w:rPr>
          <w:rFonts w:ascii="Times New Roman" w:hAnsi="Times New Roman"/>
          <w:color w:val="000000"/>
          <w:sz w:val="20"/>
          <w:szCs w:val="20"/>
        </w:rPr>
        <w:t>. студ., мол. ученых и спец. «Биомедсистемы-2017». – Рязань: ИП Коняхин (</w:t>
      </w:r>
      <w:proofErr w:type="spellStart"/>
      <w:r w:rsidRPr="006D0040">
        <w:rPr>
          <w:rFonts w:ascii="Times New Roman" w:hAnsi="Times New Roman"/>
          <w:color w:val="000000"/>
          <w:sz w:val="20"/>
          <w:szCs w:val="20"/>
        </w:rPr>
        <w:t>Book</w:t>
      </w:r>
      <w:proofErr w:type="spellEnd"/>
      <w:r w:rsidRPr="006D0040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6D0040">
        <w:rPr>
          <w:rFonts w:ascii="Times New Roman" w:hAnsi="Times New Roman"/>
          <w:color w:val="000000"/>
          <w:sz w:val="20"/>
          <w:szCs w:val="20"/>
        </w:rPr>
        <w:t>Jet</w:t>
      </w:r>
      <w:proofErr w:type="spellEnd"/>
      <w:r w:rsidRPr="006D0040">
        <w:rPr>
          <w:rFonts w:ascii="Times New Roman" w:hAnsi="Times New Roman"/>
          <w:color w:val="000000"/>
          <w:sz w:val="20"/>
          <w:szCs w:val="20"/>
        </w:rPr>
        <w:t>), 2017. 612 с. С. 185-187.</w:t>
      </w:r>
    </w:p>
    <w:p w:rsidR="001203E3" w:rsidRPr="006D0040" w:rsidRDefault="001203E3" w:rsidP="000D0E3B">
      <w:pPr>
        <w:pStyle w:val="2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  <w:lang w:val="en-US"/>
        </w:rPr>
      </w:pPr>
      <w:r w:rsidRPr="006D0040">
        <w:rPr>
          <w:rFonts w:ascii="Times New Roman" w:hAnsi="Times New Roman"/>
          <w:color w:val="000000"/>
          <w:sz w:val="20"/>
          <w:szCs w:val="20"/>
          <w:lang w:val="en-US"/>
        </w:rPr>
        <w:t xml:space="preserve">New Methodology to Obtain a Calibration Model for Noninvasive Near-Infrared Blood Glucose Monitoring / K. </w:t>
      </w:r>
      <w:proofErr w:type="spellStart"/>
      <w:r w:rsidRPr="006D0040">
        <w:rPr>
          <w:rFonts w:ascii="Times New Roman" w:hAnsi="Times New Roman"/>
          <w:color w:val="000000"/>
          <w:sz w:val="20"/>
          <w:szCs w:val="20"/>
          <w:lang w:val="en-US"/>
        </w:rPr>
        <w:t>Maruo</w:t>
      </w:r>
      <w:proofErr w:type="spellEnd"/>
      <w:r w:rsidRPr="006D0040">
        <w:rPr>
          <w:rFonts w:ascii="Times New Roman" w:hAnsi="Times New Roman"/>
          <w:color w:val="000000"/>
          <w:sz w:val="20"/>
          <w:szCs w:val="20"/>
          <w:lang w:val="en-US"/>
        </w:rPr>
        <w:t xml:space="preserve">, T. Oota, M. </w:t>
      </w:r>
      <w:proofErr w:type="spellStart"/>
      <w:r w:rsidRPr="006D0040">
        <w:rPr>
          <w:rFonts w:ascii="Times New Roman" w:hAnsi="Times New Roman"/>
          <w:color w:val="000000"/>
          <w:sz w:val="20"/>
          <w:szCs w:val="20"/>
          <w:lang w:val="en-US"/>
        </w:rPr>
        <w:t>Tsurugi</w:t>
      </w:r>
      <w:proofErr w:type="spellEnd"/>
      <w:r w:rsidRPr="006D0040">
        <w:rPr>
          <w:rFonts w:ascii="Times New Roman" w:hAnsi="Times New Roman"/>
          <w:color w:val="000000"/>
          <w:sz w:val="20"/>
          <w:szCs w:val="20"/>
          <w:lang w:val="en-US"/>
        </w:rPr>
        <w:t xml:space="preserve"> et al. // Applied Spectroscopy, 2006, 60(4).</w:t>
      </w:r>
    </w:p>
    <w:p w:rsidR="001203E3" w:rsidRPr="00063DA3" w:rsidRDefault="001203E3" w:rsidP="00063DA3">
      <w:pPr>
        <w:pStyle w:val="2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0"/>
          <w:szCs w:val="20"/>
          <w:lang w:val="en-US"/>
        </w:rPr>
      </w:pPr>
      <w:r w:rsidRPr="001B4AEA">
        <w:rPr>
          <w:rFonts w:ascii="Times New Roman" w:hAnsi="Times New Roman"/>
          <w:color w:val="000000"/>
          <w:sz w:val="20"/>
          <w:szCs w:val="20"/>
        </w:rPr>
        <w:t>Патент РФ № 2574571 С</w:t>
      </w:r>
      <w:proofErr w:type="gramStart"/>
      <w:r w:rsidRPr="001B4AEA">
        <w:rPr>
          <w:rFonts w:ascii="Times New Roman" w:hAnsi="Times New Roman"/>
          <w:color w:val="000000"/>
          <w:sz w:val="20"/>
          <w:szCs w:val="20"/>
        </w:rPr>
        <w:t>1</w:t>
      </w:r>
      <w:proofErr w:type="gramEnd"/>
      <w:r w:rsidRPr="001B4AEA">
        <w:rPr>
          <w:rFonts w:ascii="Times New Roman" w:hAnsi="Times New Roman"/>
          <w:color w:val="000000"/>
          <w:sz w:val="20"/>
          <w:szCs w:val="20"/>
        </w:rPr>
        <w:t xml:space="preserve">, МПК </w:t>
      </w:r>
      <w:r w:rsidRPr="00063DA3">
        <w:rPr>
          <w:rFonts w:ascii="Times New Roman" w:hAnsi="Times New Roman"/>
          <w:color w:val="000000"/>
          <w:sz w:val="20"/>
          <w:szCs w:val="20"/>
          <w:lang w:val="en-US"/>
        </w:rPr>
        <w:t>A</w:t>
      </w:r>
      <w:r w:rsidRPr="001B4AEA">
        <w:rPr>
          <w:rFonts w:ascii="Times New Roman" w:hAnsi="Times New Roman"/>
          <w:color w:val="000000"/>
          <w:sz w:val="20"/>
          <w:szCs w:val="20"/>
        </w:rPr>
        <w:t>61</w:t>
      </w:r>
      <w:r w:rsidRPr="00063DA3">
        <w:rPr>
          <w:rFonts w:ascii="Times New Roman" w:hAnsi="Times New Roman"/>
          <w:color w:val="000000"/>
          <w:sz w:val="20"/>
          <w:szCs w:val="20"/>
          <w:lang w:val="en-US"/>
        </w:rPr>
        <w:t>B</w:t>
      </w:r>
      <w:r w:rsidRPr="001B4AEA">
        <w:rPr>
          <w:rFonts w:ascii="Times New Roman" w:hAnsi="Times New Roman"/>
          <w:color w:val="000000"/>
          <w:sz w:val="20"/>
          <w:szCs w:val="20"/>
        </w:rPr>
        <w:t xml:space="preserve"> 5/145. Способ </w:t>
      </w:r>
      <w:proofErr w:type="spellStart"/>
      <w:r w:rsidRPr="001B4AEA">
        <w:rPr>
          <w:rFonts w:ascii="Times New Roman" w:hAnsi="Times New Roman"/>
          <w:color w:val="000000"/>
          <w:sz w:val="20"/>
          <w:szCs w:val="20"/>
        </w:rPr>
        <w:t>неинвазивного</w:t>
      </w:r>
      <w:proofErr w:type="spellEnd"/>
      <w:r w:rsidRPr="001B4AEA">
        <w:rPr>
          <w:rFonts w:ascii="Times New Roman" w:hAnsi="Times New Roman"/>
          <w:color w:val="000000"/>
          <w:sz w:val="20"/>
          <w:szCs w:val="20"/>
        </w:rPr>
        <w:t xml:space="preserve"> определения концентрации глюкозы в крови. </w:t>
      </w:r>
      <w:proofErr w:type="spellStart"/>
      <w:r w:rsidRPr="00063DA3">
        <w:rPr>
          <w:rFonts w:ascii="Times New Roman" w:hAnsi="Times New Roman"/>
          <w:color w:val="000000"/>
          <w:sz w:val="20"/>
          <w:szCs w:val="20"/>
          <w:lang w:val="en-US"/>
        </w:rPr>
        <w:t>Опубликовано</w:t>
      </w:r>
      <w:proofErr w:type="spellEnd"/>
      <w:r w:rsidRPr="00063DA3">
        <w:rPr>
          <w:rFonts w:ascii="Times New Roman" w:hAnsi="Times New Roman"/>
          <w:color w:val="000000"/>
          <w:sz w:val="20"/>
          <w:szCs w:val="20"/>
          <w:lang w:val="en-US"/>
        </w:rPr>
        <w:t xml:space="preserve">: 10.02.2016, </w:t>
      </w:r>
      <w:proofErr w:type="spellStart"/>
      <w:r w:rsidRPr="00063DA3">
        <w:rPr>
          <w:rFonts w:ascii="Times New Roman" w:hAnsi="Times New Roman"/>
          <w:color w:val="000000"/>
          <w:sz w:val="20"/>
          <w:szCs w:val="20"/>
          <w:lang w:val="en-US"/>
        </w:rPr>
        <w:t>Бюл</w:t>
      </w:r>
      <w:proofErr w:type="spellEnd"/>
      <w:r w:rsidRPr="00063DA3">
        <w:rPr>
          <w:rFonts w:ascii="Times New Roman" w:hAnsi="Times New Roman"/>
          <w:color w:val="000000"/>
          <w:sz w:val="20"/>
          <w:szCs w:val="20"/>
          <w:lang w:val="en-US"/>
        </w:rPr>
        <w:t>. № 4.</w:t>
      </w:r>
    </w:p>
    <w:sectPr w:rsidR="001203E3" w:rsidRPr="00063DA3" w:rsidSect="00FF6B25">
      <w:pgSz w:w="8391" w:h="11907" w:code="11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0FE1" w:rsidRDefault="00870FE1" w:rsidP="006D0040">
      <w:r>
        <w:separator/>
      </w:r>
    </w:p>
  </w:endnote>
  <w:endnote w:type="continuationSeparator" w:id="0">
    <w:p w:rsidR="00870FE1" w:rsidRDefault="00870FE1" w:rsidP="006D00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0FE1" w:rsidRDefault="00870FE1" w:rsidP="006D0040">
      <w:r>
        <w:separator/>
      </w:r>
    </w:p>
  </w:footnote>
  <w:footnote w:type="continuationSeparator" w:id="0">
    <w:p w:rsidR="00870FE1" w:rsidRDefault="00870FE1" w:rsidP="006D004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73747"/>
    <w:multiLevelType w:val="hybridMultilevel"/>
    <w:tmpl w:val="D5EC6D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3E61FD"/>
    <w:rsid w:val="00002E4F"/>
    <w:rsid w:val="00011347"/>
    <w:rsid w:val="000462C9"/>
    <w:rsid w:val="00063DA3"/>
    <w:rsid w:val="00065F44"/>
    <w:rsid w:val="00067980"/>
    <w:rsid w:val="000A166E"/>
    <w:rsid w:val="000B2C35"/>
    <w:rsid w:val="000B66AA"/>
    <w:rsid w:val="000D0E3B"/>
    <w:rsid w:val="000F2676"/>
    <w:rsid w:val="001030E4"/>
    <w:rsid w:val="001203E3"/>
    <w:rsid w:val="001216C5"/>
    <w:rsid w:val="00123988"/>
    <w:rsid w:val="00136CD7"/>
    <w:rsid w:val="0014265F"/>
    <w:rsid w:val="001522DA"/>
    <w:rsid w:val="00167117"/>
    <w:rsid w:val="00171853"/>
    <w:rsid w:val="00177633"/>
    <w:rsid w:val="001861C0"/>
    <w:rsid w:val="00190B7E"/>
    <w:rsid w:val="00191EE5"/>
    <w:rsid w:val="00197C2E"/>
    <w:rsid w:val="001A0AB8"/>
    <w:rsid w:val="001A3B24"/>
    <w:rsid w:val="001A3C01"/>
    <w:rsid w:val="001A67EE"/>
    <w:rsid w:val="001B4AEA"/>
    <w:rsid w:val="001B7066"/>
    <w:rsid w:val="001C3A94"/>
    <w:rsid w:val="001C6471"/>
    <w:rsid w:val="001D1585"/>
    <w:rsid w:val="0020523D"/>
    <w:rsid w:val="00207C70"/>
    <w:rsid w:val="002100D3"/>
    <w:rsid w:val="00212E23"/>
    <w:rsid w:val="00215B5B"/>
    <w:rsid w:val="00227147"/>
    <w:rsid w:val="00241E41"/>
    <w:rsid w:val="00245507"/>
    <w:rsid w:val="00275E9A"/>
    <w:rsid w:val="00280BE4"/>
    <w:rsid w:val="0028285D"/>
    <w:rsid w:val="002938AC"/>
    <w:rsid w:val="002969E9"/>
    <w:rsid w:val="002A0223"/>
    <w:rsid w:val="002A5857"/>
    <w:rsid w:val="002D29A2"/>
    <w:rsid w:val="002D306C"/>
    <w:rsid w:val="002D3316"/>
    <w:rsid w:val="002F376F"/>
    <w:rsid w:val="002F40F7"/>
    <w:rsid w:val="00305DF4"/>
    <w:rsid w:val="0030655F"/>
    <w:rsid w:val="0031593F"/>
    <w:rsid w:val="003212A3"/>
    <w:rsid w:val="003246B2"/>
    <w:rsid w:val="003452C3"/>
    <w:rsid w:val="003526EE"/>
    <w:rsid w:val="00352A70"/>
    <w:rsid w:val="00357445"/>
    <w:rsid w:val="003634F5"/>
    <w:rsid w:val="00371DCE"/>
    <w:rsid w:val="003814D8"/>
    <w:rsid w:val="00384C4A"/>
    <w:rsid w:val="003856DF"/>
    <w:rsid w:val="003A1016"/>
    <w:rsid w:val="003A54D8"/>
    <w:rsid w:val="003A74BD"/>
    <w:rsid w:val="003B0B73"/>
    <w:rsid w:val="003B6FEA"/>
    <w:rsid w:val="003C093B"/>
    <w:rsid w:val="003C37AA"/>
    <w:rsid w:val="003D1500"/>
    <w:rsid w:val="003E61FD"/>
    <w:rsid w:val="003F0CA8"/>
    <w:rsid w:val="003F635B"/>
    <w:rsid w:val="00405295"/>
    <w:rsid w:val="00411307"/>
    <w:rsid w:val="00432B17"/>
    <w:rsid w:val="00435C9C"/>
    <w:rsid w:val="00437D3C"/>
    <w:rsid w:val="004474D6"/>
    <w:rsid w:val="00465322"/>
    <w:rsid w:val="004764F5"/>
    <w:rsid w:val="0049561F"/>
    <w:rsid w:val="004A23E4"/>
    <w:rsid w:val="004A44AD"/>
    <w:rsid w:val="004B1302"/>
    <w:rsid w:val="004C3381"/>
    <w:rsid w:val="004C55F8"/>
    <w:rsid w:val="004C59EB"/>
    <w:rsid w:val="004D2239"/>
    <w:rsid w:val="004F7C39"/>
    <w:rsid w:val="00502857"/>
    <w:rsid w:val="00503A11"/>
    <w:rsid w:val="00520D73"/>
    <w:rsid w:val="00531BD6"/>
    <w:rsid w:val="00543192"/>
    <w:rsid w:val="00544A7B"/>
    <w:rsid w:val="005467D5"/>
    <w:rsid w:val="005542FB"/>
    <w:rsid w:val="0055599B"/>
    <w:rsid w:val="00570457"/>
    <w:rsid w:val="00574EC0"/>
    <w:rsid w:val="005C0A4C"/>
    <w:rsid w:val="005C2E41"/>
    <w:rsid w:val="005C3531"/>
    <w:rsid w:val="005C7DB5"/>
    <w:rsid w:val="005F5DAF"/>
    <w:rsid w:val="005F7EC2"/>
    <w:rsid w:val="0060084D"/>
    <w:rsid w:val="006161FA"/>
    <w:rsid w:val="00617D5B"/>
    <w:rsid w:val="00642CA2"/>
    <w:rsid w:val="0065129A"/>
    <w:rsid w:val="00651752"/>
    <w:rsid w:val="00653C59"/>
    <w:rsid w:val="00655342"/>
    <w:rsid w:val="0068278B"/>
    <w:rsid w:val="00685051"/>
    <w:rsid w:val="00687F7F"/>
    <w:rsid w:val="006A3FC4"/>
    <w:rsid w:val="006A5DD4"/>
    <w:rsid w:val="006C4802"/>
    <w:rsid w:val="006D0040"/>
    <w:rsid w:val="007056E3"/>
    <w:rsid w:val="007058B7"/>
    <w:rsid w:val="0070657D"/>
    <w:rsid w:val="0071708C"/>
    <w:rsid w:val="00720420"/>
    <w:rsid w:val="00730DFC"/>
    <w:rsid w:val="0073488F"/>
    <w:rsid w:val="00770A2D"/>
    <w:rsid w:val="00791521"/>
    <w:rsid w:val="007A447B"/>
    <w:rsid w:val="007B1EE4"/>
    <w:rsid w:val="007B2DC1"/>
    <w:rsid w:val="007B7C29"/>
    <w:rsid w:val="007D321C"/>
    <w:rsid w:val="007D7655"/>
    <w:rsid w:val="00812164"/>
    <w:rsid w:val="008148C5"/>
    <w:rsid w:val="008455FE"/>
    <w:rsid w:val="00846877"/>
    <w:rsid w:val="008533F1"/>
    <w:rsid w:val="0086373F"/>
    <w:rsid w:val="00870FE1"/>
    <w:rsid w:val="00875EFA"/>
    <w:rsid w:val="008A2C60"/>
    <w:rsid w:val="008B3004"/>
    <w:rsid w:val="008B6830"/>
    <w:rsid w:val="008B7049"/>
    <w:rsid w:val="008C19CD"/>
    <w:rsid w:val="008C77EC"/>
    <w:rsid w:val="008D3E34"/>
    <w:rsid w:val="008D61D1"/>
    <w:rsid w:val="008F0849"/>
    <w:rsid w:val="008F4BC7"/>
    <w:rsid w:val="008F549E"/>
    <w:rsid w:val="00914907"/>
    <w:rsid w:val="00920004"/>
    <w:rsid w:val="00920741"/>
    <w:rsid w:val="00931AA8"/>
    <w:rsid w:val="00963FC0"/>
    <w:rsid w:val="00970709"/>
    <w:rsid w:val="0097567F"/>
    <w:rsid w:val="00976220"/>
    <w:rsid w:val="00976DF4"/>
    <w:rsid w:val="00983C2F"/>
    <w:rsid w:val="00991C72"/>
    <w:rsid w:val="009A5D81"/>
    <w:rsid w:val="009C717B"/>
    <w:rsid w:val="009C7DC1"/>
    <w:rsid w:val="009D11B6"/>
    <w:rsid w:val="009D264D"/>
    <w:rsid w:val="009F3E53"/>
    <w:rsid w:val="00A01FA0"/>
    <w:rsid w:val="00A03662"/>
    <w:rsid w:val="00A44385"/>
    <w:rsid w:val="00A62F8C"/>
    <w:rsid w:val="00A66B71"/>
    <w:rsid w:val="00A703FC"/>
    <w:rsid w:val="00A82F74"/>
    <w:rsid w:val="00A95263"/>
    <w:rsid w:val="00AB0DE6"/>
    <w:rsid w:val="00AB3119"/>
    <w:rsid w:val="00AC01B4"/>
    <w:rsid w:val="00AE7CD0"/>
    <w:rsid w:val="00B03957"/>
    <w:rsid w:val="00B10DB6"/>
    <w:rsid w:val="00B1290C"/>
    <w:rsid w:val="00B1585C"/>
    <w:rsid w:val="00B20126"/>
    <w:rsid w:val="00B23D3F"/>
    <w:rsid w:val="00B35EB8"/>
    <w:rsid w:val="00B3737F"/>
    <w:rsid w:val="00B42ACA"/>
    <w:rsid w:val="00B439CF"/>
    <w:rsid w:val="00B43C89"/>
    <w:rsid w:val="00B558BF"/>
    <w:rsid w:val="00B5708D"/>
    <w:rsid w:val="00B63557"/>
    <w:rsid w:val="00B64C55"/>
    <w:rsid w:val="00B7359F"/>
    <w:rsid w:val="00B97563"/>
    <w:rsid w:val="00BA1E26"/>
    <w:rsid w:val="00BA2D4A"/>
    <w:rsid w:val="00BD3C1D"/>
    <w:rsid w:val="00BD6AB2"/>
    <w:rsid w:val="00BF6040"/>
    <w:rsid w:val="00C04C2C"/>
    <w:rsid w:val="00C21913"/>
    <w:rsid w:val="00C267F3"/>
    <w:rsid w:val="00C26BAF"/>
    <w:rsid w:val="00C5670A"/>
    <w:rsid w:val="00C72084"/>
    <w:rsid w:val="00C76D34"/>
    <w:rsid w:val="00C9388B"/>
    <w:rsid w:val="00CA4788"/>
    <w:rsid w:val="00CA4AF6"/>
    <w:rsid w:val="00CB03B8"/>
    <w:rsid w:val="00CB4139"/>
    <w:rsid w:val="00CB53E1"/>
    <w:rsid w:val="00CC3F7F"/>
    <w:rsid w:val="00CD0342"/>
    <w:rsid w:val="00CE2B18"/>
    <w:rsid w:val="00CE306F"/>
    <w:rsid w:val="00CE59EC"/>
    <w:rsid w:val="00D22F83"/>
    <w:rsid w:val="00D22FB6"/>
    <w:rsid w:val="00D23A65"/>
    <w:rsid w:val="00D26630"/>
    <w:rsid w:val="00D31E74"/>
    <w:rsid w:val="00D46C18"/>
    <w:rsid w:val="00D66661"/>
    <w:rsid w:val="00D7509B"/>
    <w:rsid w:val="00D771D6"/>
    <w:rsid w:val="00D82FD7"/>
    <w:rsid w:val="00DA1A8D"/>
    <w:rsid w:val="00DB589B"/>
    <w:rsid w:val="00DC3224"/>
    <w:rsid w:val="00DC48E0"/>
    <w:rsid w:val="00DC622F"/>
    <w:rsid w:val="00DD1A2B"/>
    <w:rsid w:val="00DD40B6"/>
    <w:rsid w:val="00DD7038"/>
    <w:rsid w:val="00DF6478"/>
    <w:rsid w:val="00E02545"/>
    <w:rsid w:val="00E2215C"/>
    <w:rsid w:val="00E26AA3"/>
    <w:rsid w:val="00E44812"/>
    <w:rsid w:val="00E51642"/>
    <w:rsid w:val="00E618AF"/>
    <w:rsid w:val="00E80476"/>
    <w:rsid w:val="00E81B1F"/>
    <w:rsid w:val="00E91AB5"/>
    <w:rsid w:val="00E92286"/>
    <w:rsid w:val="00E92CFC"/>
    <w:rsid w:val="00EA54CB"/>
    <w:rsid w:val="00EA5DED"/>
    <w:rsid w:val="00EB55A2"/>
    <w:rsid w:val="00EC746E"/>
    <w:rsid w:val="00F04918"/>
    <w:rsid w:val="00F11681"/>
    <w:rsid w:val="00F22CEA"/>
    <w:rsid w:val="00F44D9C"/>
    <w:rsid w:val="00F5765E"/>
    <w:rsid w:val="00F64568"/>
    <w:rsid w:val="00F6486B"/>
    <w:rsid w:val="00F72062"/>
    <w:rsid w:val="00F8253F"/>
    <w:rsid w:val="00F82CC0"/>
    <w:rsid w:val="00F92EF9"/>
    <w:rsid w:val="00FB11B8"/>
    <w:rsid w:val="00FC099E"/>
    <w:rsid w:val="00FC4C49"/>
    <w:rsid w:val="00FD01B9"/>
    <w:rsid w:val="00FE4C4D"/>
    <w:rsid w:val="00FE7BC4"/>
    <w:rsid w:val="00FF2076"/>
    <w:rsid w:val="00FF6B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locked="0" w:semiHidden="1" w:uiPriority="99"/>
    <w:lsdException w:name="No Spacing" w:locked="0" w:uiPriority="1" w:qFormat="1"/>
    <w:lsdException w:name="Light Shading" w:locked="0" w:uiPriority="60"/>
    <w:lsdException w:name="Light List" w:locked="0" w:uiPriority="61"/>
    <w:lsdException w:name="Light Grid" w:locked="0" w:uiPriority="62"/>
    <w:lsdException w:name="Medium Shading 1" w:locked="0" w:uiPriority="63"/>
    <w:lsdException w:name="Medium Shading 2" w:locked="0" w:uiPriority="64"/>
    <w:lsdException w:name="Medium List 1" w:locked="0" w:uiPriority="65"/>
    <w:lsdException w:name="Medium List 2" w:locked="0" w:uiPriority="66"/>
    <w:lsdException w:name="Medium Grid 1" w:locked="0" w:uiPriority="67"/>
    <w:lsdException w:name="Medium Grid 2" w:locked="0" w:uiPriority="68"/>
    <w:lsdException w:name="Medium Grid 3" w:locked="0" w:uiPriority="69"/>
    <w:lsdException w:name="Dark List" w:locked="0" w:uiPriority="70"/>
    <w:lsdException w:name="Colorful Shading" w:locked="0" w:uiPriority="71"/>
    <w:lsdException w:name="Colorful List" w:locked="0" w:uiPriority="72"/>
    <w:lsdException w:name="Colorful Grid" w:locked="0" w:uiPriority="73"/>
    <w:lsdException w:name="Light Shading Accent 1" w:locked="0" w:uiPriority="60"/>
    <w:lsdException w:name="Light List Accent 1" w:locked="0" w:uiPriority="61"/>
    <w:lsdException w:name="Light Grid Accent 1" w:locked="0" w:uiPriority="62"/>
    <w:lsdException w:name="Medium Shading 1 Accent 1" w:locked="0" w:uiPriority="63"/>
    <w:lsdException w:name="Medium Shading 2 Accent 1" w:locked="0" w:uiPriority="64"/>
    <w:lsdException w:name="Medium List 1 Accent 1" w:locked="0" w:uiPriority="65"/>
    <w:lsdException w:name="Revision" w:locked="0" w:semiHidden="1" w:uiPriority="99"/>
    <w:lsdException w:name="List Paragraph" w:locked="0" w:uiPriority="34" w:qFormat="1"/>
    <w:lsdException w:name="Quote" w:locked="0" w:uiPriority="29" w:qFormat="1"/>
    <w:lsdException w:name="Intense Quote" w:locked="0" w:uiPriority="30" w:qFormat="1"/>
    <w:lsdException w:name="Medium List 2 Accent 1" w:locked="0" w:uiPriority="66"/>
    <w:lsdException w:name="Medium Grid 1 Accent 1" w:locked="0" w:uiPriority="67"/>
    <w:lsdException w:name="Medium Grid 2 Accent 1" w:locked="0" w:uiPriority="68"/>
    <w:lsdException w:name="Medium Grid 3 Accent 1" w:locked="0" w:uiPriority="69"/>
    <w:lsdException w:name="Dark List Accent 1" w:locked="0" w:uiPriority="70"/>
    <w:lsdException w:name="Colorful Shading Accent 1" w:locked="0" w:uiPriority="71"/>
    <w:lsdException w:name="Colorful List Accent 1" w:locked="0" w:uiPriority="72"/>
    <w:lsdException w:name="Colorful Grid Accent 1" w:locked="0" w:uiPriority="73"/>
    <w:lsdException w:name="Light Shading Accent 2" w:locked="0" w:uiPriority="60"/>
    <w:lsdException w:name="Light List Accent 2" w:locked="0" w:uiPriority="61"/>
    <w:lsdException w:name="Light Grid Accent 2" w:locked="0" w:uiPriority="62"/>
    <w:lsdException w:name="Medium Shading 1 Accent 2" w:locked="0" w:uiPriority="63"/>
    <w:lsdException w:name="Medium Shading 2 Accent 2" w:locked="0" w:uiPriority="64"/>
    <w:lsdException w:name="Medium List 1 Accent 2" w:locked="0" w:uiPriority="65"/>
    <w:lsdException w:name="Medium List 2 Accent 2" w:locked="0" w:uiPriority="66"/>
    <w:lsdException w:name="Medium Grid 1 Accent 2" w:locked="0" w:uiPriority="67"/>
    <w:lsdException w:name="Medium Grid 2 Accent 2" w:locked="0" w:uiPriority="68"/>
    <w:lsdException w:name="Medium Grid 3 Accent 2" w:locked="0" w:uiPriority="69"/>
    <w:lsdException w:name="Dark List Accent 2" w:locked="0" w:uiPriority="70"/>
    <w:lsdException w:name="Colorful Shading Accent 2" w:locked="0" w:uiPriority="71"/>
    <w:lsdException w:name="Colorful List Accent 2" w:locked="0" w:uiPriority="72"/>
    <w:lsdException w:name="Colorful Grid Accent 2" w:locked="0" w:uiPriority="73"/>
    <w:lsdException w:name="Light Shading Accent 3" w:locked="0" w:uiPriority="60"/>
    <w:lsdException w:name="Light List Accent 3" w:locked="0" w:uiPriority="61"/>
    <w:lsdException w:name="Light Grid Accent 3" w:locked="0" w:uiPriority="62"/>
    <w:lsdException w:name="Medium Shading 1 Accent 3" w:locked="0" w:uiPriority="63"/>
    <w:lsdException w:name="Medium Shading 2 Accent 3" w:locked="0" w:uiPriority="64"/>
    <w:lsdException w:name="Medium List 1 Accent 3" w:locked="0" w:uiPriority="65"/>
    <w:lsdException w:name="Medium List 2 Accent 3" w:locked="0" w:uiPriority="66"/>
    <w:lsdException w:name="Medium Grid 1 Accent 3" w:locked="0" w:uiPriority="67"/>
    <w:lsdException w:name="Medium Grid 2 Accent 3" w:locked="0" w:uiPriority="68"/>
    <w:lsdException w:name="Medium Grid 3 Accent 3" w:locked="0" w:uiPriority="69"/>
    <w:lsdException w:name="Dark List Accent 3" w:locked="0" w:uiPriority="70"/>
    <w:lsdException w:name="Colorful Shading Accent 3" w:locked="0" w:uiPriority="71"/>
    <w:lsdException w:name="Colorful List Accent 3" w:locked="0" w:uiPriority="72"/>
    <w:lsdException w:name="Colorful Grid Accent 3" w:locked="0" w:uiPriority="73"/>
    <w:lsdException w:name="Light Shading Accent 4" w:locked="0" w:uiPriority="60"/>
    <w:lsdException w:name="Light List Accent 4" w:locked="0" w:uiPriority="61"/>
    <w:lsdException w:name="Light Grid Accent 4" w:locked="0" w:uiPriority="62"/>
    <w:lsdException w:name="Medium Shading 1 Accent 4" w:locked="0" w:uiPriority="63"/>
    <w:lsdException w:name="Medium Shading 2 Accent 4" w:locked="0" w:uiPriority="64"/>
    <w:lsdException w:name="Medium List 1 Accent 4" w:locked="0" w:uiPriority="65"/>
    <w:lsdException w:name="Medium List 2 Accent 4" w:locked="0" w:uiPriority="66"/>
    <w:lsdException w:name="Medium Grid 1 Accent 4" w:locked="0" w:uiPriority="67"/>
    <w:lsdException w:name="Medium Grid 2 Accent 4" w:locked="0" w:uiPriority="68"/>
    <w:lsdException w:name="Medium Grid 3 Accent 4" w:locked="0" w:uiPriority="69"/>
    <w:lsdException w:name="Dark List Accent 4" w:locked="0" w:uiPriority="70"/>
    <w:lsdException w:name="Colorful Shading Accent 4" w:locked="0" w:uiPriority="71"/>
    <w:lsdException w:name="Colorful List Accent 4" w:locked="0" w:uiPriority="72"/>
    <w:lsdException w:name="Colorful Grid Accent 4" w:locked="0" w:uiPriority="73"/>
    <w:lsdException w:name="Light Shading Accent 5" w:locked="0" w:uiPriority="60"/>
    <w:lsdException w:name="Light List Accent 5" w:locked="0" w:uiPriority="61"/>
    <w:lsdException w:name="Light Grid Accent 5" w:locked="0" w:uiPriority="62"/>
    <w:lsdException w:name="Medium Shading 1 Accent 5" w:locked="0" w:uiPriority="63"/>
    <w:lsdException w:name="Medium Shading 2 Accent 5" w:locked="0" w:uiPriority="64"/>
    <w:lsdException w:name="Medium List 1 Accent 5" w:locked="0" w:uiPriority="65"/>
    <w:lsdException w:name="Medium List 2 Accent 5" w:locked="0" w:uiPriority="66"/>
    <w:lsdException w:name="Medium Grid 1 Accent 5" w:locked="0" w:uiPriority="67"/>
    <w:lsdException w:name="Medium Grid 2 Accent 5" w:locked="0" w:uiPriority="68"/>
    <w:lsdException w:name="Medium Grid 3 Accent 5" w:locked="0" w:uiPriority="69"/>
    <w:lsdException w:name="Dark List Accent 5" w:locked="0" w:uiPriority="70"/>
    <w:lsdException w:name="Colorful Shading Accent 5" w:locked="0" w:uiPriority="71"/>
    <w:lsdException w:name="Colorful List Accent 5" w:locked="0" w:uiPriority="72"/>
    <w:lsdException w:name="Colorful Grid Accent 5" w:locked="0" w:uiPriority="73"/>
    <w:lsdException w:name="Light Shading Accent 6" w:locked="0" w:uiPriority="60"/>
    <w:lsdException w:name="Light List Accent 6" w:locked="0" w:uiPriority="61"/>
    <w:lsdException w:name="Light Grid Accent 6" w:locked="0" w:uiPriority="62"/>
    <w:lsdException w:name="Medium Shading 1 Accent 6" w:locked="0" w:uiPriority="63"/>
    <w:lsdException w:name="Medium Shading 2 Accent 6" w:locked="0" w:uiPriority="64"/>
    <w:lsdException w:name="Medium List 1 Accent 6" w:locked="0" w:uiPriority="65"/>
    <w:lsdException w:name="Medium List 2 Accent 6" w:locked="0" w:uiPriority="66"/>
    <w:lsdException w:name="Medium Grid 1 Accent 6" w:locked="0" w:uiPriority="67"/>
    <w:lsdException w:name="Medium Grid 2 Accent 6" w:locked="0" w:uiPriority="68"/>
    <w:lsdException w:name="Medium Grid 3 Accent 6" w:locked="0" w:uiPriority="69"/>
    <w:lsdException w:name="Dark List Accent 6" w:locked="0" w:uiPriority="70"/>
    <w:lsdException w:name="Colorful Shading Accent 6" w:locked="0" w:uiPriority="71"/>
    <w:lsdException w:name="Colorful List Accent 6" w:locked="0" w:uiPriority="72"/>
    <w:lsdException w:name="Colorful Grid Accent 6" w:locked="0" w:uiPriority="73"/>
    <w:lsdException w:name="Subtle Emphasis" w:locked="0" w:uiPriority="19" w:qFormat="1"/>
    <w:lsdException w:name="Intense Emphasis" w:locked="0" w:uiPriority="21" w:qFormat="1"/>
    <w:lsdException w:name="Subtle Reference" w:locked="0" w:uiPriority="31" w:qFormat="1"/>
    <w:lsdException w:name="Intense Reference" w:locked="0" w:uiPriority="32" w:qFormat="1"/>
    <w:lsdException w:name="Book Title" w:locked="0" w:uiPriority="33" w:qFormat="1"/>
    <w:lsdException w:name="Bibliography" w:locked="0" w:semiHidden="1" w:uiPriority="37" w:unhideWhenUsed="1"/>
    <w:lsdException w:name="TOC Heading" w:locked="0" w:semiHidden="1" w:uiPriority="39" w:unhideWhenUsed="1" w:qFormat="1"/>
  </w:latentStyles>
  <w:style w:type="paragraph" w:default="1" w:styleId="a">
    <w:name w:val="Normal"/>
    <w:qFormat/>
    <w:rsid w:val="006D0040"/>
    <w:rPr>
      <w:rFonts w:ascii="Times New Roman" w:eastAsia="Times New Roman" w:hAnsi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6D0040"/>
    <w:pPr>
      <w:ind w:left="720"/>
    </w:pPr>
  </w:style>
  <w:style w:type="paragraph" w:customStyle="1" w:styleId="2">
    <w:name w:val="Абзац списка2"/>
    <w:basedOn w:val="a"/>
    <w:rsid w:val="006D0040"/>
    <w:pPr>
      <w:spacing w:after="160" w:line="259" w:lineRule="auto"/>
      <w:ind w:left="720"/>
    </w:pPr>
    <w:rPr>
      <w:rFonts w:ascii="Calibri" w:eastAsia="Calibri" w:hAnsi="Calibri"/>
      <w:lang w:eastAsia="en-US"/>
    </w:rPr>
  </w:style>
  <w:style w:type="paragraph" w:customStyle="1" w:styleId="a3">
    <w:name w:val="рисунок"/>
    <w:basedOn w:val="a"/>
    <w:rsid w:val="006D0040"/>
    <w:pPr>
      <w:tabs>
        <w:tab w:val="left" w:pos="-2694"/>
        <w:tab w:val="left" w:pos="-2410"/>
        <w:tab w:val="left" w:pos="-2268"/>
        <w:tab w:val="left" w:pos="-284"/>
        <w:tab w:val="left" w:pos="567"/>
        <w:tab w:val="left" w:pos="1134"/>
        <w:tab w:val="left" w:pos="8789"/>
      </w:tabs>
      <w:jc w:val="center"/>
    </w:pPr>
    <w:rPr>
      <w:sz w:val="20"/>
      <w:szCs w:val="18"/>
    </w:rPr>
  </w:style>
  <w:style w:type="paragraph" w:customStyle="1" w:styleId="21">
    <w:name w:val="Абзац списка21"/>
    <w:basedOn w:val="a"/>
    <w:rsid w:val="006D0040"/>
    <w:pPr>
      <w:ind w:left="720"/>
    </w:pPr>
  </w:style>
  <w:style w:type="paragraph" w:customStyle="1" w:styleId="a4">
    <w:name w:val="Библиогр список"/>
    <w:basedOn w:val="a"/>
    <w:rsid w:val="006D0040"/>
    <w:pPr>
      <w:ind w:firstLine="709"/>
      <w:jc w:val="both"/>
    </w:pPr>
    <w:rPr>
      <w:b/>
      <w:sz w:val="24"/>
      <w:szCs w:val="26"/>
      <w:lang w:val="en-GB" w:eastAsia="en-US"/>
    </w:rPr>
  </w:style>
  <w:style w:type="paragraph" w:styleId="HTML">
    <w:name w:val="HTML Preformatted"/>
    <w:basedOn w:val="a"/>
    <w:link w:val="HTML0"/>
    <w:rsid w:val="006D004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locked/>
    <w:rsid w:val="006D0040"/>
    <w:rPr>
      <w:rFonts w:ascii="Courier New" w:eastAsia="Times New Roman" w:hAnsi="Courier New"/>
      <w:sz w:val="20"/>
      <w:lang w:eastAsia="ru-RU"/>
    </w:rPr>
  </w:style>
  <w:style w:type="paragraph" w:styleId="a5">
    <w:name w:val="footer"/>
    <w:basedOn w:val="a"/>
    <w:link w:val="a6"/>
    <w:rsid w:val="006D0040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6">
    <w:name w:val="Нижний колонтитул Знак"/>
    <w:link w:val="a5"/>
    <w:locked/>
    <w:rsid w:val="006D0040"/>
    <w:rPr>
      <w:rFonts w:ascii="Times New Roman" w:eastAsia="Times New Roman" w:hAnsi="Times New Roman"/>
      <w:lang w:eastAsia="ru-RU"/>
    </w:rPr>
  </w:style>
  <w:style w:type="paragraph" w:styleId="a7">
    <w:name w:val="header"/>
    <w:basedOn w:val="a"/>
    <w:link w:val="a8"/>
    <w:semiHidden/>
    <w:rsid w:val="006D0040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semiHidden/>
    <w:locked/>
    <w:rsid w:val="006D0040"/>
    <w:rPr>
      <w:rFonts w:ascii="Times New Roman" w:eastAsia="Times New Roman" w:hAnsi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458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УДК 621</vt:lpstr>
    </vt:vector>
  </TitlesOfParts>
  <Company>Microsoft</Company>
  <LinksUpToDate>false</LinksUpToDate>
  <CharactersWithSpaces>3067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УДК 621</dc:title>
  <dc:creator>1_om</dc:creator>
  <cp:lastModifiedBy>Белковская </cp:lastModifiedBy>
  <cp:revision>6</cp:revision>
  <dcterms:created xsi:type="dcterms:W3CDTF">2019-09-17T13:09:00Z</dcterms:created>
  <dcterms:modified xsi:type="dcterms:W3CDTF">2019-09-19T09:47:00Z</dcterms:modified>
</cp:coreProperties>
</file>